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360330" w14:textId="77777777" w:rsidR="009B1899" w:rsidRDefault="009B1899" w:rsidP="009B1899">
      <w:pPr>
        <w:spacing w:after="0" w:line="360" w:lineRule="auto"/>
        <w:jc w:val="center"/>
        <w:rPr>
          <w:rFonts w:ascii="Times New Roman" w:eastAsia="Times New Roman" w:hAnsi="Times New Roman" w:cs="Times New Roman"/>
          <w:b/>
          <w:bCs/>
          <w:sz w:val="24"/>
          <w:szCs w:val="24"/>
        </w:rPr>
      </w:pPr>
      <w:bookmarkStart w:id="0" w:name="_GoBack"/>
      <w:bookmarkEnd w:id="0"/>
      <w:r>
        <w:rPr>
          <w:rFonts w:ascii="Times New Roman" w:eastAsia="Times New Roman" w:hAnsi="Times New Roman" w:cs="Times New Roman"/>
          <w:b/>
          <w:bCs/>
          <w:sz w:val="24"/>
          <w:szCs w:val="24"/>
        </w:rPr>
        <w:t>ASSE LONG BEACH CHAPTER</w:t>
      </w:r>
    </w:p>
    <w:p w14:paraId="0424FA7E" w14:textId="77777777" w:rsidR="009B1899" w:rsidRDefault="009B1899" w:rsidP="009B1899">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GOVERNMENNT AFFAIRS REPORT</w:t>
      </w:r>
    </w:p>
    <w:p w14:paraId="19AA7424" w14:textId="77777777" w:rsidR="009B1899" w:rsidRDefault="009B1899" w:rsidP="009B1899">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FALL 2016</w:t>
      </w:r>
    </w:p>
    <w:p w14:paraId="3B363DAE" w14:textId="77777777" w:rsidR="009B1899" w:rsidRDefault="009B1899" w:rsidP="009B1899">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By</w:t>
      </w:r>
    </w:p>
    <w:p w14:paraId="2AE90352" w14:textId="77777777" w:rsidR="009B1899" w:rsidRDefault="009B1899" w:rsidP="009B1899">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Tom Butler, Government Affairs Chair</w:t>
      </w:r>
    </w:p>
    <w:p w14:paraId="483122BA" w14:textId="77777777" w:rsidR="009B1899" w:rsidRPr="00584CFF" w:rsidRDefault="00584CFF" w:rsidP="00584CFF">
      <w:pPr>
        <w:spacing w:after="0" w:line="36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REPEAT VIOLATIONS CHANGE</w:t>
      </w:r>
    </w:p>
    <w:p w14:paraId="200E0D6B" w14:textId="77777777" w:rsidR="009B1899" w:rsidRDefault="009B1899" w:rsidP="00151693">
      <w:pPr>
        <w:spacing w:after="0" w:line="240" w:lineRule="auto"/>
        <w:rPr>
          <w:rFonts w:ascii="Times New Roman" w:hAnsi="Times New Roman" w:cs="Times New Roman"/>
          <w:color w:val="000000"/>
          <w:sz w:val="24"/>
          <w:szCs w:val="24"/>
          <w:lang w:val="en"/>
        </w:rPr>
      </w:pPr>
      <w:r>
        <w:rPr>
          <w:rFonts w:ascii="Times New Roman" w:eastAsia="Times New Roman" w:hAnsi="Times New Roman" w:cs="Times New Roman"/>
          <w:bCs/>
          <w:sz w:val="24"/>
          <w:szCs w:val="24"/>
        </w:rPr>
        <w:t xml:space="preserve">The California Department of Industrial Relations (DIR) has amended </w:t>
      </w:r>
      <w:r w:rsidR="00151693">
        <w:rPr>
          <w:rFonts w:ascii="Times New Roman" w:eastAsia="Times New Roman" w:hAnsi="Times New Roman" w:cs="Times New Roman"/>
          <w:bCs/>
          <w:sz w:val="24"/>
          <w:szCs w:val="24"/>
        </w:rPr>
        <w:t>Section 334</w:t>
      </w:r>
      <w:r>
        <w:rPr>
          <w:rFonts w:ascii="Times New Roman" w:eastAsia="Times New Roman" w:hAnsi="Times New Roman" w:cs="Times New Roman"/>
          <w:bCs/>
          <w:sz w:val="24"/>
          <w:szCs w:val="24"/>
        </w:rPr>
        <w:t xml:space="preserve"> (d) </w:t>
      </w:r>
      <w:r w:rsidR="00151693">
        <w:rPr>
          <w:rFonts w:ascii="Times New Roman" w:eastAsia="Times New Roman" w:hAnsi="Times New Roman" w:cs="Times New Roman"/>
          <w:bCs/>
          <w:sz w:val="24"/>
          <w:szCs w:val="24"/>
        </w:rPr>
        <w:t>(</w:t>
      </w:r>
      <w:r w:rsidRPr="009B1899">
        <w:rPr>
          <w:rFonts w:ascii="Times New Roman" w:hAnsi="Times New Roman" w:cs="Times New Roman"/>
          <w:color w:val="000000"/>
          <w:sz w:val="24"/>
          <w:szCs w:val="24"/>
          <w:lang w:val="en"/>
        </w:rPr>
        <w:t>Classification of Violations and Definitions</w:t>
      </w:r>
      <w:r w:rsidR="00151693">
        <w:rPr>
          <w:rFonts w:ascii="Times New Roman" w:hAnsi="Times New Roman" w:cs="Times New Roman"/>
          <w:color w:val="000000"/>
          <w:sz w:val="24"/>
          <w:szCs w:val="24"/>
          <w:lang w:val="en"/>
        </w:rPr>
        <w:t xml:space="preserve">) concerning Repeat Violations which will become effective on January 1, 2017. The amendment will affect </w:t>
      </w:r>
      <w:r w:rsidR="00584CFF">
        <w:rPr>
          <w:rFonts w:ascii="Times New Roman" w:hAnsi="Times New Roman" w:cs="Times New Roman"/>
          <w:color w:val="000000"/>
          <w:sz w:val="24"/>
          <w:szCs w:val="24"/>
          <w:lang w:val="en"/>
        </w:rPr>
        <w:t xml:space="preserve">all employers by extending the history of violations to be considered for Repeat from three (3) years to five (5) years. </w:t>
      </w:r>
      <w:r w:rsidR="00151693">
        <w:rPr>
          <w:rFonts w:ascii="Times New Roman" w:hAnsi="Times New Roman" w:cs="Times New Roman"/>
          <w:color w:val="000000"/>
          <w:sz w:val="24"/>
          <w:szCs w:val="24"/>
          <w:lang w:val="en"/>
        </w:rPr>
        <w:t xml:space="preserve">As highlighted below, the DIR will consider a Repeat </w:t>
      </w:r>
      <w:r w:rsidR="00584CFF">
        <w:rPr>
          <w:rFonts w:ascii="Times New Roman" w:hAnsi="Times New Roman" w:cs="Times New Roman"/>
          <w:color w:val="000000"/>
          <w:sz w:val="24"/>
          <w:szCs w:val="24"/>
          <w:lang w:val="en"/>
        </w:rPr>
        <w:t>for those employers with multiple locations throughout the State of California.</w:t>
      </w:r>
    </w:p>
    <w:p w14:paraId="56257F29" w14:textId="77777777" w:rsidR="00584CFF" w:rsidRPr="009B1899" w:rsidRDefault="00584CFF" w:rsidP="00151693">
      <w:pPr>
        <w:spacing w:after="0" w:line="240" w:lineRule="auto"/>
        <w:rPr>
          <w:rFonts w:ascii="Times New Roman" w:eastAsia="Times New Roman" w:hAnsi="Times New Roman" w:cs="Times New Roman"/>
          <w:bCs/>
          <w:sz w:val="24"/>
          <w:szCs w:val="24"/>
        </w:rPr>
      </w:pPr>
    </w:p>
    <w:p w14:paraId="778C380F" w14:textId="77777777" w:rsidR="009B1899" w:rsidRPr="009B1899" w:rsidRDefault="009B1899" w:rsidP="009B1899">
      <w:pPr>
        <w:shd w:val="clear" w:color="auto" w:fill="FFFFFF"/>
        <w:spacing w:after="0" w:line="240" w:lineRule="auto"/>
        <w:rPr>
          <w:rFonts w:ascii="Times New Roman" w:eastAsia="Times New Roman" w:hAnsi="Times New Roman" w:cs="Times New Roman"/>
          <w:color w:val="000000"/>
          <w:sz w:val="24"/>
          <w:szCs w:val="24"/>
          <w:lang w:val="en"/>
        </w:rPr>
      </w:pPr>
      <w:r w:rsidRPr="009B1899">
        <w:rPr>
          <w:rFonts w:ascii="Times New Roman" w:eastAsia="Times New Roman" w:hAnsi="Times New Roman" w:cs="Times New Roman"/>
          <w:color w:val="000000"/>
          <w:sz w:val="24"/>
          <w:szCs w:val="24"/>
          <w:lang w:val="en"/>
        </w:rPr>
        <w:t xml:space="preserve">(d) Repeat Violation - is a violation where the employer has abated or indicated abatement of an earlier violation </w:t>
      </w:r>
      <w:r w:rsidRPr="009B1899">
        <w:rPr>
          <w:rFonts w:ascii="Times New Roman" w:eastAsia="Times New Roman" w:hAnsi="Times New Roman" w:cs="Times New Roman"/>
          <w:color w:val="000000"/>
          <w:sz w:val="24"/>
          <w:szCs w:val="24"/>
          <w:highlight w:val="yellow"/>
          <w:lang w:val="en"/>
        </w:rPr>
        <w:t>occurring within the state</w:t>
      </w:r>
      <w:r w:rsidRPr="009B1899">
        <w:rPr>
          <w:rFonts w:ascii="Times New Roman" w:eastAsia="Times New Roman" w:hAnsi="Times New Roman" w:cs="Times New Roman"/>
          <w:color w:val="000000"/>
          <w:sz w:val="24"/>
          <w:szCs w:val="24"/>
          <w:lang w:val="en"/>
        </w:rPr>
        <w:t xml:space="preserve"> for which a citation was issued, and upon a later inspection, the Division finds a violation of a substantially similar regulatory requirement and issues a citation within a period of </w:t>
      </w:r>
      <w:r w:rsidRPr="009B1899">
        <w:rPr>
          <w:rFonts w:ascii="Times New Roman" w:eastAsia="Times New Roman" w:hAnsi="Times New Roman" w:cs="Times New Roman"/>
          <w:color w:val="000000"/>
          <w:sz w:val="24"/>
          <w:szCs w:val="24"/>
          <w:highlight w:val="yellow"/>
          <w:lang w:val="en"/>
        </w:rPr>
        <w:t>five years</w:t>
      </w:r>
      <w:r w:rsidRPr="009B1899">
        <w:rPr>
          <w:rFonts w:ascii="Times New Roman" w:eastAsia="Times New Roman" w:hAnsi="Times New Roman" w:cs="Times New Roman"/>
          <w:color w:val="000000"/>
          <w:sz w:val="24"/>
          <w:szCs w:val="24"/>
          <w:lang w:val="en"/>
        </w:rPr>
        <w:t xml:space="preserve"> immediately following the latest of: (1) the date of the final order affirming the existence of the previous violation cited in the underlying citation; or (2) the date on which the underlying citation became final by operation of law. For violations other than those classified as repeat regulatory, the subsequent violation must involve essentially similar conditions or hazards. </w:t>
      </w:r>
    </w:p>
    <w:p w14:paraId="594F946E" w14:textId="77777777" w:rsidR="009B1899" w:rsidRPr="009B1899" w:rsidRDefault="00DF5D2B" w:rsidP="009B1899">
      <w:pPr>
        <w:shd w:val="clear" w:color="auto" w:fill="FFFFFF"/>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color w:val="000000"/>
          <w:sz w:val="24"/>
          <w:szCs w:val="24"/>
          <w:lang w:val="en"/>
        </w:rPr>
        <w:pict w14:anchorId="0B80C3AE">
          <v:rect id="_x0000_i1025" style="width:0;height:1.5pt" o:hralign="center" o:hrstd="t" o:hr="t" fillcolor="#a0a0a0" stroked="f"/>
        </w:pict>
      </w:r>
    </w:p>
    <w:p w14:paraId="5CFE18E6" w14:textId="77777777" w:rsidR="009B1899" w:rsidRPr="009B1899" w:rsidRDefault="009B1899" w:rsidP="00584CFF">
      <w:pPr>
        <w:shd w:val="clear" w:color="auto" w:fill="FFFFFF"/>
        <w:rPr>
          <w:rFonts w:ascii="Times New Roman" w:eastAsia="Times New Roman" w:hAnsi="Times New Roman" w:cs="Times New Roman"/>
          <w:color w:val="000000"/>
          <w:sz w:val="24"/>
          <w:szCs w:val="24"/>
          <w:lang w:val="en"/>
        </w:rPr>
      </w:pPr>
      <w:r w:rsidRPr="009B1899">
        <w:rPr>
          <w:rFonts w:ascii="Times New Roman" w:eastAsia="Times New Roman" w:hAnsi="Times New Roman" w:cs="Times New Roman"/>
          <w:b/>
          <w:bCs/>
          <w:color w:val="000000"/>
          <w:sz w:val="24"/>
          <w:szCs w:val="24"/>
          <w:lang w:val="en"/>
        </w:rPr>
        <w:t xml:space="preserve">In 2016, the Director amended Section 334, subsection (d.) The amendments, which are reflected in </w:t>
      </w:r>
      <w:r w:rsidRPr="009B1899">
        <w:rPr>
          <w:rFonts w:ascii="Times New Roman" w:eastAsia="Times New Roman" w:hAnsi="Times New Roman" w:cs="Times New Roman"/>
          <w:b/>
          <w:bCs/>
          <w:color w:val="000000"/>
          <w:sz w:val="24"/>
          <w:szCs w:val="24"/>
          <w:highlight w:val="yellow"/>
          <w:lang w:val="en"/>
        </w:rPr>
        <w:t>the language above, will become effective on January 1, 2017.</w:t>
      </w:r>
      <w:r w:rsidRPr="009B1899">
        <w:rPr>
          <w:rFonts w:ascii="Times New Roman" w:eastAsia="Times New Roman" w:hAnsi="Times New Roman" w:cs="Times New Roman"/>
          <w:b/>
          <w:bCs/>
          <w:color w:val="000000"/>
          <w:sz w:val="24"/>
          <w:szCs w:val="24"/>
          <w:lang w:val="en"/>
        </w:rPr>
        <w:t xml:space="preserve"> </w:t>
      </w:r>
      <w:r w:rsidRPr="009B1899">
        <w:rPr>
          <w:rFonts w:ascii="Times New Roman" w:eastAsia="Times New Roman" w:hAnsi="Times New Roman" w:cs="Times New Roman"/>
          <w:b/>
          <w:bCs/>
          <w:color w:val="000000"/>
          <w:sz w:val="24"/>
          <w:szCs w:val="24"/>
          <w:highlight w:val="yellow"/>
          <w:lang w:val="en"/>
        </w:rPr>
        <w:t>Until that date</w:t>
      </w:r>
      <w:r w:rsidRPr="009B1899">
        <w:rPr>
          <w:rFonts w:ascii="Times New Roman" w:eastAsia="Times New Roman" w:hAnsi="Times New Roman" w:cs="Times New Roman"/>
          <w:b/>
          <w:bCs/>
          <w:color w:val="000000"/>
          <w:sz w:val="24"/>
          <w:szCs w:val="24"/>
          <w:lang w:val="en"/>
        </w:rPr>
        <w:t>, the existing language of subsection (d,) set forth immediately below, remains in effect.</w:t>
      </w:r>
    </w:p>
    <w:p w14:paraId="1B0E20B3" w14:textId="77777777" w:rsidR="009B1899" w:rsidRPr="009B1899" w:rsidRDefault="009B1899" w:rsidP="009B1899">
      <w:pPr>
        <w:shd w:val="clear" w:color="auto" w:fill="FFFFFF"/>
        <w:spacing w:before="24" w:after="48" w:line="240" w:lineRule="auto"/>
        <w:rPr>
          <w:rFonts w:ascii="Times New Roman" w:eastAsia="Times New Roman" w:hAnsi="Times New Roman" w:cs="Times New Roman"/>
          <w:color w:val="000000"/>
          <w:sz w:val="24"/>
          <w:szCs w:val="24"/>
          <w:lang w:val="en"/>
        </w:rPr>
      </w:pPr>
      <w:r w:rsidRPr="009B1899">
        <w:rPr>
          <w:rFonts w:ascii="Times New Roman" w:eastAsia="Times New Roman" w:hAnsi="Times New Roman" w:cs="Times New Roman"/>
          <w:color w:val="000000"/>
          <w:sz w:val="24"/>
          <w:szCs w:val="24"/>
          <w:lang w:val="en"/>
        </w:rPr>
        <w:t>"(d) Repeat Violation</w:t>
      </w:r>
      <w:r w:rsidR="00584CFF">
        <w:rPr>
          <w:rFonts w:ascii="Times New Roman" w:eastAsia="Times New Roman" w:hAnsi="Times New Roman" w:cs="Times New Roman"/>
          <w:color w:val="000000"/>
          <w:sz w:val="24"/>
          <w:szCs w:val="24"/>
          <w:lang w:val="en"/>
        </w:rPr>
        <w:t xml:space="preserve"> (until January 1, 2017)</w:t>
      </w:r>
    </w:p>
    <w:p w14:paraId="08093126" w14:textId="77777777" w:rsidR="009B1899" w:rsidRPr="009B1899" w:rsidRDefault="009B1899" w:rsidP="009B1899">
      <w:pPr>
        <w:shd w:val="clear" w:color="auto" w:fill="FFFFFF"/>
        <w:spacing w:after="0" w:line="240" w:lineRule="auto"/>
        <w:rPr>
          <w:rFonts w:ascii="Times New Roman" w:eastAsia="Times New Roman" w:hAnsi="Times New Roman" w:cs="Times New Roman"/>
          <w:color w:val="000000"/>
          <w:sz w:val="24"/>
          <w:szCs w:val="24"/>
          <w:lang w:val="en"/>
        </w:rPr>
      </w:pPr>
    </w:p>
    <w:p w14:paraId="63AF222B" w14:textId="77777777" w:rsidR="009B1899" w:rsidRPr="009B1899" w:rsidRDefault="009B1899" w:rsidP="009B1899">
      <w:pPr>
        <w:shd w:val="clear" w:color="auto" w:fill="FFFFFF"/>
        <w:spacing w:before="24" w:line="240" w:lineRule="auto"/>
        <w:rPr>
          <w:rFonts w:ascii="Times New Roman" w:eastAsia="Times New Roman" w:hAnsi="Times New Roman" w:cs="Times New Roman"/>
          <w:color w:val="000000"/>
          <w:sz w:val="24"/>
          <w:szCs w:val="24"/>
          <w:lang w:val="en"/>
        </w:rPr>
      </w:pPr>
      <w:r w:rsidRPr="009B1899">
        <w:rPr>
          <w:rFonts w:ascii="Times New Roman" w:eastAsia="Times New Roman" w:hAnsi="Times New Roman" w:cs="Times New Roman"/>
          <w:color w:val="000000"/>
          <w:sz w:val="24"/>
          <w:szCs w:val="24"/>
          <w:lang w:val="en"/>
        </w:rPr>
        <w:t xml:space="preserve">(1) General--is a violation where the employer has corrected, or indicated correction of an earlier violation, for which a citation was issued, and upon a later inspection is found to have committed the same violation again within a period of </w:t>
      </w:r>
      <w:r w:rsidRPr="009B1899">
        <w:rPr>
          <w:rFonts w:ascii="Times New Roman" w:eastAsia="Times New Roman" w:hAnsi="Times New Roman" w:cs="Times New Roman"/>
          <w:color w:val="000000"/>
          <w:sz w:val="24"/>
          <w:szCs w:val="24"/>
          <w:highlight w:val="yellow"/>
          <w:lang w:val="en"/>
        </w:rPr>
        <w:t>three years</w:t>
      </w:r>
      <w:r w:rsidRPr="009B1899">
        <w:rPr>
          <w:rFonts w:ascii="Times New Roman" w:eastAsia="Times New Roman" w:hAnsi="Times New Roman" w:cs="Times New Roman"/>
          <w:color w:val="000000"/>
          <w:sz w:val="24"/>
          <w:szCs w:val="24"/>
          <w:lang w:val="en"/>
        </w:rPr>
        <w:t xml:space="preserve"> immediately preceding the latter violation. For the purpose of considering whether a violation is repeated, a repeat citation issued to </w:t>
      </w:r>
      <w:r w:rsidRPr="009B1899">
        <w:rPr>
          <w:rFonts w:ascii="Times New Roman" w:eastAsia="Times New Roman" w:hAnsi="Times New Roman" w:cs="Times New Roman"/>
          <w:color w:val="000000"/>
          <w:sz w:val="24"/>
          <w:szCs w:val="24"/>
          <w:highlight w:val="yellow"/>
          <w:lang w:val="en"/>
        </w:rPr>
        <w:t>employers having fixed establishments (e.g., factories, terminals, stores . . .) will be limited to the cited establishment; for employers engaged in businesses having no fixed establishments (e.g., construction, painting, excavation . . .) a repeat violation will be based on prior violations cited within the same Region of the Division.</w:t>
      </w:r>
    </w:p>
    <w:p w14:paraId="50BEC1A2" w14:textId="77777777" w:rsidR="009B1899" w:rsidRDefault="009B1899" w:rsidP="009B1899">
      <w:pPr>
        <w:spacing w:after="0" w:line="360" w:lineRule="auto"/>
        <w:rPr>
          <w:rFonts w:ascii="Times New Roman" w:eastAsia="Times New Roman" w:hAnsi="Times New Roman" w:cs="Times New Roman"/>
          <w:b/>
          <w:bCs/>
          <w:color w:val="FF0000"/>
          <w:sz w:val="24"/>
          <w:szCs w:val="24"/>
        </w:rPr>
      </w:pPr>
    </w:p>
    <w:p w14:paraId="411740EA" w14:textId="77777777" w:rsidR="00DE5D4D" w:rsidRDefault="001C258B" w:rsidP="00227F49">
      <w:pPr>
        <w:spacing w:after="0" w:line="360" w:lineRule="auto"/>
        <w:jc w:val="center"/>
      </w:pPr>
      <w:r w:rsidRPr="00CA60ED">
        <w:rPr>
          <w:rFonts w:ascii="Times New Roman" w:eastAsia="Times New Roman" w:hAnsi="Times New Roman" w:cs="Times New Roman"/>
          <w:b/>
          <w:bCs/>
          <w:color w:val="FF0000"/>
          <w:sz w:val="24"/>
          <w:szCs w:val="24"/>
        </w:rPr>
        <w:t>UPDATE ON PROPOSED 5189.1 CAL/OSHA STANDARD ON REFINERY PROCESS SAFETY (PSM)</w:t>
      </w:r>
    </w:p>
    <w:p w14:paraId="34221B6A" w14:textId="77777777" w:rsidR="001C258B" w:rsidRDefault="001C258B" w:rsidP="001C258B">
      <w:pPr>
        <w:pStyle w:val="Default"/>
        <w:rPr>
          <w:sz w:val="22"/>
          <w:szCs w:val="22"/>
        </w:rPr>
      </w:pPr>
      <w:r>
        <w:rPr>
          <w:b/>
          <w:bCs/>
          <w:sz w:val="22"/>
          <w:szCs w:val="22"/>
        </w:rPr>
        <w:t xml:space="preserve">NOTICE OF PROPOSED RULEMAKING CALIFORNIA CODE OF REGULATIONS </w:t>
      </w:r>
    </w:p>
    <w:p w14:paraId="1B827326" w14:textId="77777777" w:rsidR="001C258B" w:rsidRDefault="001C258B" w:rsidP="001C258B">
      <w:pPr>
        <w:pStyle w:val="Default"/>
        <w:rPr>
          <w:sz w:val="22"/>
          <w:szCs w:val="22"/>
        </w:rPr>
      </w:pPr>
      <w:r>
        <w:rPr>
          <w:sz w:val="22"/>
          <w:szCs w:val="22"/>
        </w:rPr>
        <w:t xml:space="preserve">TITLE 8: Chapter 4, Subchapter 7, Article 109 (Published July 15, 2016) </w:t>
      </w:r>
    </w:p>
    <w:p w14:paraId="768830C6" w14:textId="77777777" w:rsidR="00612D69" w:rsidRDefault="00612D69" w:rsidP="001C258B">
      <w:pPr>
        <w:pStyle w:val="Default"/>
        <w:rPr>
          <w:sz w:val="22"/>
          <w:szCs w:val="22"/>
        </w:rPr>
      </w:pPr>
      <w:r>
        <w:rPr>
          <w:sz w:val="22"/>
          <w:szCs w:val="22"/>
        </w:rPr>
        <w:lastRenderedPageBreak/>
        <w:t>ANNOUNCEMENT</w:t>
      </w:r>
    </w:p>
    <w:p w14:paraId="61C41011" w14:textId="77777777" w:rsidR="001C258B" w:rsidRDefault="001C258B" w:rsidP="001C258B">
      <w:pPr>
        <w:pStyle w:val="Default"/>
        <w:rPr>
          <w:sz w:val="22"/>
          <w:szCs w:val="22"/>
        </w:rPr>
      </w:pPr>
      <w:r>
        <w:rPr>
          <w:sz w:val="22"/>
          <w:szCs w:val="22"/>
        </w:rPr>
        <w:t xml:space="preserve">New Section 5189.1 of the General Industry Safety Orders </w:t>
      </w:r>
    </w:p>
    <w:p w14:paraId="39A94AFF" w14:textId="77777777" w:rsidR="001C258B" w:rsidRDefault="001C258B" w:rsidP="001C258B">
      <w:pPr>
        <w:kinsoku w:val="0"/>
        <w:overflowPunct w:val="0"/>
        <w:autoSpaceDE w:val="0"/>
        <w:autoSpaceDN w:val="0"/>
        <w:adjustRightInd w:val="0"/>
        <w:spacing w:after="0" w:line="225" w:lineRule="exact"/>
        <w:ind w:left="40" w:right="80"/>
        <w:rPr>
          <w:rFonts w:ascii="Calibri" w:hAnsi="Calibri" w:cs="Calibri"/>
        </w:rPr>
      </w:pPr>
      <w:r w:rsidRPr="001C258B">
        <w:rPr>
          <w:rFonts w:ascii="Calibri" w:hAnsi="Calibri" w:cs="Calibri"/>
        </w:rPr>
        <w:t xml:space="preserve">The </w:t>
      </w:r>
      <w:r>
        <w:rPr>
          <w:rFonts w:ascii="Calibri" w:hAnsi="Calibri" w:cs="Calibri"/>
        </w:rPr>
        <w:t xml:space="preserve">Cal/OSHA Standards </w:t>
      </w:r>
      <w:r w:rsidRPr="001C258B">
        <w:rPr>
          <w:rFonts w:ascii="Calibri" w:hAnsi="Calibri" w:cs="Calibri"/>
        </w:rPr>
        <w:t>Board will hold a public hearing starting at 10:00 a.m. on September 15, 2016, in the Auditorium of</w:t>
      </w:r>
      <w:r>
        <w:rPr>
          <w:rFonts w:ascii="Calibri" w:hAnsi="Calibri" w:cs="Calibri"/>
        </w:rPr>
        <w:t xml:space="preserve"> </w:t>
      </w:r>
      <w:r w:rsidRPr="001C258B">
        <w:rPr>
          <w:rFonts w:ascii="Calibri" w:hAnsi="Calibri" w:cs="Calibri"/>
        </w:rPr>
        <w:t>the State Resources Building, 1416 9</w:t>
      </w:r>
      <w:r w:rsidRPr="001C258B">
        <w:rPr>
          <w:rFonts w:ascii="Calibri" w:hAnsi="Calibri" w:cs="Calibri"/>
          <w:position w:val="10"/>
        </w:rPr>
        <w:t xml:space="preserve">th </w:t>
      </w:r>
      <w:r w:rsidRPr="001C258B">
        <w:rPr>
          <w:rFonts w:ascii="Calibri" w:hAnsi="Calibri" w:cs="Calibri"/>
        </w:rPr>
        <w:t>Street, Sacramento. At this public hearing, any person may present statements or arguments orally or in writing relevant to the proposed action described in the</w:t>
      </w:r>
      <w:r>
        <w:rPr>
          <w:rFonts w:ascii="Calibri" w:hAnsi="Calibri" w:cs="Calibri"/>
        </w:rPr>
        <w:t xml:space="preserve"> </w:t>
      </w:r>
      <w:r w:rsidRPr="001C258B">
        <w:rPr>
          <w:rFonts w:ascii="Calibri" w:hAnsi="Calibri" w:cs="Calibri"/>
        </w:rPr>
        <w:t>Informative Digest.</w:t>
      </w:r>
    </w:p>
    <w:p w14:paraId="2EAEE4EA" w14:textId="77777777" w:rsidR="001C258B" w:rsidRDefault="001C258B" w:rsidP="001C258B">
      <w:pPr>
        <w:kinsoku w:val="0"/>
        <w:overflowPunct w:val="0"/>
        <w:autoSpaceDE w:val="0"/>
        <w:autoSpaceDN w:val="0"/>
        <w:adjustRightInd w:val="0"/>
        <w:spacing w:after="0" w:line="225" w:lineRule="exact"/>
        <w:ind w:left="40" w:right="80"/>
        <w:rPr>
          <w:rFonts w:ascii="Calibri" w:hAnsi="Calibri" w:cs="Calibri"/>
        </w:rPr>
      </w:pPr>
    </w:p>
    <w:p w14:paraId="0690BB67" w14:textId="77777777" w:rsidR="00612D69" w:rsidRDefault="00612D69" w:rsidP="001C258B">
      <w:pPr>
        <w:kinsoku w:val="0"/>
        <w:overflowPunct w:val="0"/>
        <w:autoSpaceDE w:val="0"/>
        <w:autoSpaceDN w:val="0"/>
        <w:adjustRightInd w:val="0"/>
        <w:spacing w:after="0" w:line="225" w:lineRule="exact"/>
        <w:ind w:left="40" w:right="80"/>
        <w:rPr>
          <w:rFonts w:ascii="Calibri" w:hAnsi="Calibri" w:cs="Calibri"/>
        </w:rPr>
      </w:pPr>
      <w:r>
        <w:rPr>
          <w:rFonts w:ascii="Calibri" w:hAnsi="Calibri" w:cs="Calibri"/>
        </w:rPr>
        <w:t>REPORT</w:t>
      </w:r>
    </w:p>
    <w:p w14:paraId="79722273" w14:textId="77777777" w:rsidR="001C258B" w:rsidRPr="001C258B" w:rsidRDefault="001C258B" w:rsidP="001C258B">
      <w:pPr>
        <w:kinsoku w:val="0"/>
        <w:overflowPunct w:val="0"/>
        <w:autoSpaceDE w:val="0"/>
        <w:autoSpaceDN w:val="0"/>
        <w:adjustRightInd w:val="0"/>
        <w:spacing w:after="0" w:line="225" w:lineRule="exact"/>
        <w:ind w:left="40" w:right="80"/>
        <w:rPr>
          <w:rFonts w:ascii="Calibri" w:hAnsi="Calibri" w:cs="Calibri"/>
        </w:rPr>
      </w:pPr>
      <w:r>
        <w:rPr>
          <w:rFonts w:ascii="Calibri" w:hAnsi="Calibri" w:cs="Calibri"/>
        </w:rPr>
        <w:t xml:space="preserve">Over 400 pages of written comments were submitted, in addition to the oral comments made at the September 15, 2016 hearing. </w:t>
      </w:r>
    </w:p>
    <w:p w14:paraId="2AA09349" w14:textId="77777777" w:rsidR="001C258B" w:rsidRDefault="001C258B" w:rsidP="001C258B">
      <w:pPr>
        <w:pStyle w:val="Default"/>
        <w:rPr>
          <w:sz w:val="22"/>
          <w:szCs w:val="22"/>
        </w:rPr>
      </w:pPr>
    </w:p>
    <w:tbl>
      <w:tblPr>
        <w:tblStyle w:val="TableGrid"/>
        <w:tblW w:w="0" w:type="auto"/>
        <w:tblLook w:val="04A0" w:firstRow="1" w:lastRow="0" w:firstColumn="1" w:lastColumn="0" w:noHBand="0" w:noVBand="1"/>
      </w:tblPr>
      <w:tblGrid>
        <w:gridCol w:w="2119"/>
        <w:gridCol w:w="7231"/>
      </w:tblGrid>
      <w:tr w:rsidR="00CC55CF" w14:paraId="79E8643D" w14:textId="77777777" w:rsidTr="001C258B">
        <w:tc>
          <w:tcPr>
            <w:tcW w:w="0" w:type="auto"/>
          </w:tcPr>
          <w:p w14:paraId="6D3F1495" w14:textId="77777777" w:rsidR="001C258B" w:rsidRDefault="00CC55CF" w:rsidP="001C258B">
            <w:pPr>
              <w:pStyle w:val="Default"/>
              <w:rPr>
                <w:sz w:val="22"/>
                <w:szCs w:val="22"/>
              </w:rPr>
            </w:pPr>
            <w:r>
              <w:rPr>
                <w:sz w:val="22"/>
                <w:szCs w:val="22"/>
              </w:rPr>
              <w:t>STAKEHOLDER</w:t>
            </w:r>
          </w:p>
        </w:tc>
        <w:tc>
          <w:tcPr>
            <w:tcW w:w="0" w:type="auto"/>
          </w:tcPr>
          <w:p w14:paraId="280599C2" w14:textId="77777777" w:rsidR="001C258B" w:rsidRDefault="00CC55CF" w:rsidP="001C258B">
            <w:pPr>
              <w:pStyle w:val="Default"/>
              <w:rPr>
                <w:sz w:val="22"/>
                <w:szCs w:val="22"/>
              </w:rPr>
            </w:pPr>
            <w:r>
              <w:rPr>
                <w:sz w:val="22"/>
                <w:szCs w:val="22"/>
              </w:rPr>
              <w:t>COMMENT</w:t>
            </w:r>
          </w:p>
        </w:tc>
      </w:tr>
      <w:tr w:rsidR="00CC55CF" w14:paraId="087537B4" w14:textId="77777777" w:rsidTr="001C258B">
        <w:tc>
          <w:tcPr>
            <w:tcW w:w="0" w:type="auto"/>
          </w:tcPr>
          <w:p w14:paraId="635A8446" w14:textId="77777777" w:rsidR="001C258B" w:rsidRDefault="00CC55CF" w:rsidP="001C258B">
            <w:pPr>
              <w:pStyle w:val="Default"/>
              <w:rPr>
                <w:sz w:val="22"/>
                <w:szCs w:val="22"/>
              </w:rPr>
            </w:pPr>
            <w:r>
              <w:rPr>
                <w:sz w:val="22"/>
                <w:szCs w:val="22"/>
              </w:rPr>
              <w:t>Western States Petroleum Association</w:t>
            </w:r>
          </w:p>
        </w:tc>
        <w:tc>
          <w:tcPr>
            <w:tcW w:w="0" w:type="auto"/>
          </w:tcPr>
          <w:p w14:paraId="2291650C" w14:textId="77777777" w:rsidR="001C258B" w:rsidRDefault="00CC55CF" w:rsidP="001C258B">
            <w:pPr>
              <w:pStyle w:val="Default"/>
              <w:rPr>
                <w:sz w:val="22"/>
                <w:szCs w:val="22"/>
              </w:rPr>
            </w:pPr>
            <w:r>
              <w:rPr>
                <w:sz w:val="22"/>
                <w:szCs w:val="22"/>
              </w:rPr>
              <w:t>Three areas of concern</w:t>
            </w:r>
          </w:p>
          <w:p w14:paraId="3EDE3B40" w14:textId="77777777" w:rsidR="00CC55CF" w:rsidRPr="00CC55CF" w:rsidRDefault="00CC55CF" w:rsidP="00CC55CF">
            <w:pPr>
              <w:pStyle w:val="BodyText"/>
              <w:numPr>
                <w:ilvl w:val="0"/>
                <w:numId w:val="1"/>
              </w:numPr>
              <w:kinsoku w:val="0"/>
              <w:overflowPunct w:val="0"/>
              <w:spacing w:line="235" w:lineRule="exact"/>
              <w:rPr>
                <w:rFonts w:ascii="Times New Roman" w:hAnsi="Times New Roman" w:cs="Times New Roman"/>
                <w:sz w:val="23"/>
                <w:szCs w:val="23"/>
              </w:rPr>
            </w:pPr>
            <w:r>
              <w:t xml:space="preserve">Legal - </w:t>
            </w:r>
            <w:r w:rsidRPr="00CC55CF">
              <w:rPr>
                <w:rFonts w:ascii="Times New Roman" w:hAnsi="Times New Roman" w:cs="Times New Roman"/>
                <w:sz w:val="23"/>
                <w:szCs w:val="23"/>
              </w:rPr>
              <w:t>seek to regulate processes and parties outside the scope of permissible regulation under</w:t>
            </w:r>
            <w:r>
              <w:rPr>
                <w:rFonts w:ascii="Times New Roman" w:hAnsi="Times New Roman" w:cs="Times New Roman"/>
                <w:sz w:val="23"/>
                <w:szCs w:val="23"/>
              </w:rPr>
              <w:t xml:space="preserve"> California Statutes </w:t>
            </w:r>
          </w:p>
          <w:p w14:paraId="6E93E16F" w14:textId="77777777" w:rsidR="00F3447F" w:rsidRPr="00F3447F" w:rsidRDefault="00CC55CF" w:rsidP="00F3447F">
            <w:pPr>
              <w:pStyle w:val="BodyText"/>
              <w:numPr>
                <w:ilvl w:val="0"/>
                <w:numId w:val="1"/>
              </w:numPr>
              <w:kinsoku w:val="0"/>
              <w:overflowPunct w:val="0"/>
              <w:autoSpaceDE w:val="0"/>
              <w:autoSpaceDN w:val="0"/>
              <w:adjustRightInd w:val="0"/>
              <w:spacing w:before="36" w:after="0"/>
              <w:rPr>
                <w:rFonts w:ascii="Times New Roman" w:hAnsi="Times New Roman" w:cs="Times New Roman"/>
                <w:sz w:val="23"/>
                <w:szCs w:val="23"/>
              </w:rPr>
            </w:pPr>
            <w:r>
              <w:t xml:space="preserve">Economic – Rand study vs. </w:t>
            </w:r>
            <w:r w:rsidR="00F3447F" w:rsidRPr="00F3447F">
              <w:rPr>
                <w:rFonts w:ascii="Times New Roman" w:hAnsi="Times New Roman" w:cs="Times New Roman"/>
                <w:i/>
                <w:iCs/>
                <w:sz w:val="23"/>
                <w:szCs w:val="23"/>
              </w:rPr>
              <w:t xml:space="preserve">"Turner, Mason </w:t>
            </w:r>
            <w:r w:rsidR="00F3447F" w:rsidRPr="00F3447F">
              <w:rPr>
                <w:rFonts w:ascii="Times New Roman" w:hAnsi="Times New Roman" w:cs="Times New Roman"/>
                <w:i/>
                <w:iCs/>
              </w:rPr>
              <w:t xml:space="preserve">&amp; </w:t>
            </w:r>
            <w:r w:rsidR="00F3447F" w:rsidRPr="00F3447F">
              <w:rPr>
                <w:rFonts w:ascii="Times New Roman" w:hAnsi="Times New Roman" w:cs="Times New Roman"/>
                <w:i/>
                <w:iCs/>
                <w:sz w:val="23"/>
                <w:szCs w:val="23"/>
              </w:rPr>
              <w:t xml:space="preserve">Co. Evaluation of RAND Corporation Report </w:t>
            </w:r>
            <w:r w:rsidR="00F3447F" w:rsidRPr="00F3447F">
              <w:rPr>
                <w:rFonts w:ascii="Times New Roman" w:hAnsi="Times New Roman" w:cs="Times New Roman"/>
                <w:sz w:val="23"/>
                <w:szCs w:val="23"/>
              </w:rPr>
              <w:t xml:space="preserve">- </w:t>
            </w:r>
            <w:r w:rsidR="00F3447F" w:rsidRPr="00F3447F">
              <w:rPr>
                <w:rFonts w:ascii="Times New Roman" w:hAnsi="Times New Roman" w:cs="Times New Roman"/>
                <w:i/>
                <w:iCs/>
                <w:sz w:val="23"/>
                <w:szCs w:val="23"/>
              </w:rPr>
              <w:t xml:space="preserve">'Cost-Benefit Analysis of Proposed California Oil and Gas Refinery Regulations'", </w:t>
            </w:r>
            <w:r w:rsidR="00F3447F" w:rsidRPr="00F3447F">
              <w:rPr>
                <w:rFonts w:ascii="Times New Roman" w:hAnsi="Times New Roman" w:cs="Times New Roman"/>
                <w:sz w:val="23"/>
                <w:szCs w:val="23"/>
              </w:rPr>
              <w:t>dated September 6, 2016</w:t>
            </w:r>
          </w:p>
          <w:p w14:paraId="3A3C61B3" w14:textId="77777777" w:rsidR="00F3447F" w:rsidRPr="00F3447F" w:rsidRDefault="00F3447F" w:rsidP="00D874F3">
            <w:pPr>
              <w:pStyle w:val="ListParagraph"/>
              <w:numPr>
                <w:ilvl w:val="0"/>
                <w:numId w:val="1"/>
              </w:numPr>
              <w:autoSpaceDE w:val="0"/>
              <w:autoSpaceDN w:val="0"/>
              <w:adjustRightInd w:val="0"/>
              <w:rPr>
                <w:rFonts w:ascii="Times New Roman" w:hAnsi="Times New Roman" w:cs="Times New Roman"/>
                <w:sz w:val="23"/>
                <w:szCs w:val="23"/>
              </w:rPr>
            </w:pPr>
            <w:r w:rsidRPr="00F3447F">
              <w:rPr>
                <w:rFonts w:ascii="Times New Roman" w:hAnsi="Times New Roman" w:cs="Times New Roman"/>
                <w:sz w:val="23"/>
                <w:szCs w:val="23"/>
              </w:rPr>
              <w:t>Inconsistent with the amendments currently being proposed by the Governor's Office of Emergency Services (CalOES) to the California Accidental Release Prevention (CalARP) Program (Proposed CalARP</w:t>
            </w:r>
            <w:r>
              <w:rPr>
                <w:rFonts w:ascii="Times New Roman" w:hAnsi="Times New Roman" w:cs="Times New Roman"/>
                <w:sz w:val="23"/>
                <w:szCs w:val="23"/>
              </w:rPr>
              <w:t>)</w:t>
            </w:r>
          </w:p>
          <w:p w14:paraId="397CEBF7" w14:textId="77777777" w:rsidR="00CC55CF" w:rsidRDefault="00CC55CF" w:rsidP="00F3447F">
            <w:pPr>
              <w:pStyle w:val="Default"/>
              <w:ind w:left="720"/>
              <w:rPr>
                <w:sz w:val="22"/>
                <w:szCs w:val="22"/>
              </w:rPr>
            </w:pPr>
          </w:p>
        </w:tc>
      </w:tr>
      <w:tr w:rsidR="00CC55CF" w14:paraId="05BF1D47" w14:textId="77777777" w:rsidTr="001C258B">
        <w:tc>
          <w:tcPr>
            <w:tcW w:w="0" w:type="auto"/>
          </w:tcPr>
          <w:p w14:paraId="13E6A71F" w14:textId="77777777" w:rsidR="001C258B" w:rsidRDefault="00F3447F" w:rsidP="001C258B">
            <w:pPr>
              <w:pStyle w:val="Default"/>
              <w:rPr>
                <w:sz w:val="22"/>
                <w:szCs w:val="22"/>
              </w:rPr>
            </w:pPr>
            <w:r>
              <w:rPr>
                <w:sz w:val="22"/>
                <w:szCs w:val="22"/>
              </w:rPr>
              <w:t>Cal/EPA</w:t>
            </w:r>
          </w:p>
        </w:tc>
        <w:tc>
          <w:tcPr>
            <w:tcW w:w="0" w:type="auto"/>
          </w:tcPr>
          <w:p w14:paraId="12A6029E" w14:textId="77777777" w:rsidR="001C258B" w:rsidRDefault="00462A72" w:rsidP="001C258B">
            <w:pPr>
              <w:pStyle w:val="Default"/>
              <w:rPr>
                <w:sz w:val="22"/>
                <w:szCs w:val="22"/>
              </w:rPr>
            </w:pPr>
            <w:r>
              <w:rPr>
                <w:sz w:val="22"/>
                <w:szCs w:val="22"/>
              </w:rPr>
              <w:t>Deputy Secretary for Law Enforcement and Counsel stated that Cal/EPA wishes to continue to coordinate with Cal/OSHA on the PSM and CalARP regulations.</w:t>
            </w:r>
          </w:p>
        </w:tc>
      </w:tr>
      <w:tr w:rsidR="00CC55CF" w14:paraId="5011C877" w14:textId="77777777" w:rsidTr="001C258B">
        <w:tc>
          <w:tcPr>
            <w:tcW w:w="0" w:type="auto"/>
          </w:tcPr>
          <w:p w14:paraId="0FD2D0E9" w14:textId="77777777" w:rsidR="001C258B" w:rsidRDefault="00462A72" w:rsidP="00462A72">
            <w:pPr>
              <w:pStyle w:val="Default"/>
              <w:rPr>
                <w:sz w:val="22"/>
                <w:szCs w:val="22"/>
              </w:rPr>
            </w:pPr>
            <w:r>
              <w:rPr>
                <w:sz w:val="22"/>
                <w:szCs w:val="22"/>
              </w:rPr>
              <w:t xml:space="preserve">Organized Labor </w:t>
            </w:r>
          </w:p>
        </w:tc>
        <w:tc>
          <w:tcPr>
            <w:tcW w:w="0" w:type="auto"/>
          </w:tcPr>
          <w:p w14:paraId="25A54341" w14:textId="77777777" w:rsidR="001C258B" w:rsidRDefault="00462A72" w:rsidP="001C258B">
            <w:pPr>
              <w:pStyle w:val="Default"/>
              <w:rPr>
                <w:sz w:val="22"/>
                <w:szCs w:val="22"/>
              </w:rPr>
            </w:pPr>
            <w:r>
              <w:rPr>
                <w:sz w:val="22"/>
                <w:szCs w:val="22"/>
              </w:rPr>
              <w:t>Concerned that the July 2016 version of the proposed PSM regulations are weaker that the September 2015 version with no input from Organized  Labor</w:t>
            </w:r>
          </w:p>
        </w:tc>
      </w:tr>
      <w:tr w:rsidR="00CC55CF" w14:paraId="5A4AAD10" w14:textId="77777777" w:rsidTr="001C258B">
        <w:tc>
          <w:tcPr>
            <w:tcW w:w="0" w:type="auto"/>
          </w:tcPr>
          <w:p w14:paraId="55444B61" w14:textId="77777777" w:rsidR="001C258B" w:rsidRDefault="00462A72" w:rsidP="001C258B">
            <w:pPr>
              <w:pStyle w:val="Default"/>
              <w:rPr>
                <w:sz w:val="22"/>
                <w:szCs w:val="22"/>
              </w:rPr>
            </w:pPr>
            <w:r>
              <w:rPr>
                <w:sz w:val="22"/>
                <w:szCs w:val="22"/>
              </w:rPr>
              <w:t xml:space="preserve">Environmental  Groups </w:t>
            </w:r>
          </w:p>
        </w:tc>
        <w:tc>
          <w:tcPr>
            <w:tcW w:w="0" w:type="auto"/>
          </w:tcPr>
          <w:p w14:paraId="380CB363" w14:textId="77777777" w:rsidR="001C258B" w:rsidRDefault="00462A72" w:rsidP="00462A72">
            <w:pPr>
              <w:pStyle w:val="Default"/>
              <w:rPr>
                <w:sz w:val="22"/>
                <w:szCs w:val="22"/>
              </w:rPr>
            </w:pPr>
            <w:r>
              <w:rPr>
                <w:sz w:val="22"/>
                <w:szCs w:val="22"/>
              </w:rPr>
              <w:t>Concerned that the July 2016 version of the proposed PSM regulations are weaker that the September 2015 version with no input from Environmental Groups.</w:t>
            </w:r>
          </w:p>
        </w:tc>
      </w:tr>
      <w:tr w:rsidR="00CC55CF" w14:paraId="1F7D0357" w14:textId="77777777" w:rsidTr="001C258B">
        <w:tc>
          <w:tcPr>
            <w:tcW w:w="0" w:type="auto"/>
          </w:tcPr>
          <w:p w14:paraId="7DDE1F51" w14:textId="77777777" w:rsidR="001C258B" w:rsidRDefault="002C5C32" w:rsidP="001C258B">
            <w:pPr>
              <w:pStyle w:val="Default"/>
              <w:rPr>
                <w:sz w:val="22"/>
                <w:szCs w:val="22"/>
              </w:rPr>
            </w:pPr>
            <w:r>
              <w:rPr>
                <w:sz w:val="22"/>
                <w:szCs w:val="22"/>
              </w:rPr>
              <w:t xml:space="preserve">US </w:t>
            </w:r>
            <w:r w:rsidR="00462A72">
              <w:rPr>
                <w:sz w:val="22"/>
                <w:szCs w:val="22"/>
              </w:rPr>
              <w:t>Chemical Safety Board</w:t>
            </w:r>
          </w:p>
        </w:tc>
        <w:tc>
          <w:tcPr>
            <w:tcW w:w="0" w:type="auto"/>
          </w:tcPr>
          <w:p w14:paraId="4D6464D4" w14:textId="77777777" w:rsidR="001C258B" w:rsidRDefault="00462A72" w:rsidP="00462A72">
            <w:pPr>
              <w:pStyle w:val="Default"/>
              <w:rPr>
                <w:sz w:val="22"/>
                <w:szCs w:val="22"/>
              </w:rPr>
            </w:pPr>
            <w:r>
              <w:rPr>
                <w:sz w:val="22"/>
                <w:szCs w:val="22"/>
              </w:rPr>
              <w:t xml:space="preserve">Concerned that the July 2016 version of the proposed PSM regulations are weaker that the September 2015 version. </w:t>
            </w:r>
          </w:p>
        </w:tc>
      </w:tr>
    </w:tbl>
    <w:p w14:paraId="19F5F0C8" w14:textId="77777777" w:rsidR="001C258B" w:rsidRDefault="001C258B" w:rsidP="001C258B">
      <w:pPr>
        <w:pStyle w:val="Default"/>
        <w:rPr>
          <w:sz w:val="22"/>
          <w:szCs w:val="22"/>
        </w:rPr>
      </w:pPr>
    </w:p>
    <w:p w14:paraId="0B22E9C6" w14:textId="77777777" w:rsidR="00401139" w:rsidRPr="00401139" w:rsidRDefault="00401139" w:rsidP="00401139">
      <w:pPr>
        <w:rPr>
          <w:rFonts w:ascii="Times New Roman" w:hAnsi="Times New Roman" w:cs="Times New Roman"/>
          <w:u w:val="single"/>
        </w:rPr>
      </w:pPr>
      <w:r w:rsidRPr="00401139">
        <w:rPr>
          <w:rFonts w:ascii="Times New Roman" w:hAnsi="Times New Roman" w:cs="Times New Roman"/>
          <w:u w:val="single"/>
        </w:rPr>
        <w:t>Improving Public  and Worker Safety  at Oil Refineries Report of the Interagency  Working Group on Refinery Safety</w:t>
      </w:r>
    </w:p>
    <w:p w14:paraId="556EFE7C" w14:textId="77777777" w:rsidR="00401139" w:rsidRDefault="00DF5D2B" w:rsidP="00401139">
      <w:pPr>
        <w:rPr>
          <w:color w:val="0070C0"/>
          <w:sz w:val="24"/>
          <w:szCs w:val="24"/>
        </w:rPr>
      </w:pPr>
      <w:hyperlink r:id="rId6" w:history="1">
        <w:r w:rsidR="00401139" w:rsidRPr="00362329">
          <w:rPr>
            <w:rStyle w:val="Hyperlink"/>
            <w:sz w:val="24"/>
            <w:szCs w:val="24"/>
          </w:rPr>
          <w:t>http://www.calepa.ca.gov/Publications/Reports/2014/RefineryRpt.pdf</w:t>
        </w:r>
      </w:hyperlink>
    </w:p>
    <w:p w14:paraId="1E25C5AC" w14:textId="77777777" w:rsidR="00401139" w:rsidRDefault="00401139" w:rsidP="00227F49">
      <w:pPr>
        <w:spacing w:before="204" w:after="168" w:line="405" w:lineRule="atLeast"/>
        <w:ind w:left="-30"/>
        <w:outlineLvl w:val="0"/>
        <w:rPr>
          <w:color w:val="0070C0"/>
          <w:sz w:val="24"/>
          <w:szCs w:val="24"/>
        </w:rPr>
      </w:pPr>
      <w:r w:rsidRPr="00401139">
        <w:rPr>
          <w:rFonts w:ascii="Trebuchet MS" w:eastAsia="Times New Roman" w:hAnsi="Trebuchet MS" w:cs="Arial"/>
          <w:color w:val="CC6600"/>
          <w:kern w:val="36"/>
          <w:sz w:val="24"/>
          <w:szCs w:val="24"/>
          <w:lang w:val="en"/>
        </w:rPr>
        <w:t>Process Safety Management for Petroleum Refineries</w:t>
      </w:r>
      <w:r w:rsidR="00A47B73">
        <w:rPr>
          <w:rFonts w:ascii="Trebuchet MS" w:eastAsia="Times New Roman" w:hAnsi="Trebuchet MS" w:cs="Arial"/>
          <w:color w:val="CC6600"/>
          <w:kern w:val="36"/>
          <w:sz w:val="24"/>
          <w:szCs w:val="24"/>
          <w:lang w:val="en"/>
        </w:rPr>
        <w:t xml:space="preserve"> </w:t>
      </w:r>
      <w:r w:rsidRPr="00401139">
        <w:rPr>
          <w:rFonts w:ascii="Arial" w:eastAsia="Times New Roman" w:hAnsi="Arial" w:cs="Arial"/>
          <w:b/>
          <w:bCs/>
          <w:color w:val="4E2D0C"/>
          <w:sz w:val="18"/>
          <w:szCs w:val="18"/>
          <w:lang w:val="en"/>
        </w:rPr>
        <w:t>GENERAL INDUSTRY SAFETY ORDERS</w:t>
      </w:r>
      <w:r w:rsidRPr="00401139">
        <w:rPr>
          <w:rFonts w:ascii="Arial" w:eastAsia="Times New Roman" w:hAnsi="Arial" w:cs="Arial"/>
          <w:color w:val="4E2D0C"/>
          <w:sz w:val="21"/>
          <w:szCs w:val="21"/>
          <w:lang w:val="en"/>
        </w:rPr>
        <w:t>,</w:t>
      </w:r>
      <w:r w:rsidRPr="00401139">
        <w:rPr>
          <w:rFonts w:ascii="Arial" w:eastAsia="Times New Roman" w:hAnsi="Arial" w:cs="Arial"/>
          <w:color w:val="4E2D0C"/>
          <w:sz w:val="21"/>
          <w:szCs w:val="21"/>
          <w:lang w:val="en"/>
        </w:rPr>
        <w:br/>
        <w:t>New Section 5189.1</w:t>
      </w:r>
    </w:p>
    <w:p w14:paraId="2A1D1D2B" w14:textId="77777777" w:rsidR="00401139" w:rsidRDefault="00DF5D2B" w:rsidP="00401139">
      <w:pPr>
        <w:rPr>
          <w:color w:val="0070C0"/>
          <w:sz w:val="24"/>
          <w:szCs w:val="24"/>
        </w:rPr>
      </w:pPr>
      <w:hyperlink r:id="rId7" w:history="1">
        <w:r w:rsidR="00401139" w:rsidRPr="00362329">
          <w:rPr>
            <w:rStyle w:val="Hyperlink"/>
            <w:sz w:val="24"/>
            <w:szCs w:val="24"/>
          </w:rPr>
          <w:t>http://www.dir.ca.gov/OSHSB/Process-Safety-Management-for-Petroleum-Refineries.html</w:t>
        </w:r>
      </w:hyperlink>
    </w:p>
    <w:p w14:paraId="39F4D19D" w14:textId="77777777" w:rsidR="00401139" w:rsidRPr="00401139" w:rsidRDefault="00401139" w:rsidP="00401139">
      <w:pPr>
        <w:rPr>
          <w:color w:val="0070C0"/>
          <w:sz w:val="24"/>
          <w:szCs w:val="24"/>
        </w:rPr>
      </w:pPr>
    </w:p>
    <w:p w14:paraId="001A4975" w14:textId="77777777" w:rsidR="001C258B" w:rsidRDefault="001C258B"/>
    <w:sectPr w:rsidR="001C25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53F21"/>
    <w:multiLevelType w:val="multilevel"/>
    <w:tmpl w:val="44E6B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E9353C"/>
    <w:multiLevelType w:val="hybridMultilevel"/>
    <w:tmpl w:val="F5B4B2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B3748C"/>
    <w:multiLevelType w:val="hybridMultilevel"/>
    <w:tmpl w:val="F4389D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58B"/>
    <w:rsid w:val="000119AC"/>
    <w:rsid w:val="00014775"/>
    <w:rsid w:val="00022A78"/>
    <w:rsid w:val="00027FE0"/>
    <w:rsid w:val="00033B20"/>
    <w:rsid w:val="0003723E"/>
    <w:rsid w:val="000378A7"/>
    <w:rsid w:val="00041597"/>
    <w:rsid w:val="0004196A"/>
    <w:rsid w:val="00045B12"/>
    <w:rsid w:val="000536F0"/>
    <w:rsid w:val="00074AE3"/>
    <w:rsid w:val="000868FD"/>
    <w:rsid w:val="000A339D"/>
    <w:rsid w:val="000D398C"/>
    <w:rsid w:val="000D40EA"/>
    <w:rsid w:val="000E3EE8"/>
    <w:rsid w:val="000F51E6"/>
    <w:rsid w:val="000F5620"/>
    <w:rsid w:val="00101424"/>
    <w:rsid w:val="001161D9"/>
    <w:rsid w:val="0012696D"/>
    <w:rsid w:val="0013323A"/>
    <w:rsid w:val="00145317"/>
    <w:rsid w:val="00151693"/>
    <w:rsid w:val="00172A20"/>
    <w:rsid w:val="00175D05"/>
    <w:rsid w:val="00183452"/>
    <w:rsid w:val="00186585"/>
    <w:rsid w:val="0019492A"/>
    <w:rsid w:val="00194F32"/>
    <w:rsid w:val="001B0BF7"/>
    <w:rsid w:val="001B385D"/>
    <w:rsid w:val="001B3D63"/>
    <w:rsid w:val="001C258B"/>
    <w:rsid w:val="001D4639"/>
    <w:rsid w:val="001E1B7D"/>
    <w:rsid w:val="001E4BED"/>
    <w:rsid w:val="001E6BCB"/>
    <w:rsid w:val="0020738C"/>
    <w:rsid w:val="002232DC"/>
    <w:rsid w:val="00227F49"/>
    <w:rsid w:val="00230B4C"/>
    <w:rsid w:val="00231E26"/>
    <w:rsid w:val="00240DBB"/>
    <w:rsid w:val="00244DFF"/>
    <w:rsid w:val="00247B20"/>
    <w:rsid w:val="00271AAA"/>
    <w:rsid w:val="002C5C32"/>
    <w:rsid w:val="002D6435"/>
    <w:rsid w:val="002E27D9"/>
    <w:rsid w:val="00305690"/>
    <w:rsid w:val="00305FA9"/>
    <w:rsid w:val="003072F3"/>
    <w:rsid w:val="0031070C"/>
    <w:rsid w:val="00315E77"/>
    <w:rsid w:val="00317BFA"/>
    <w:rsid w:val="00321547"/>
    <w:rsid w:val="003243CF"/>
    <w:rsid w:val="003503B9"/>
    <w:rsid w:val="00355119"/>
    <w:rsid w:val="00380592"/>
    <w:rsid w:val="00383D52"/>
    <w:rsid w:val="003945CF"/>
    <w:rsid w:val="003A7EFF"/>
    <w:rsid w:val="003B5645"/>
    <w:rsid w:val="003B776D"/>
    <w:rsid w:val="003C1A9B"/>
    <w:rsid w:val="003D0CD6"/>
    <w:rsid w:val="003D2F14"/>
    <w:rsid w:val="003F49C4"/>
    <w:rsid w:val="00401139"/>
    <w:rsid w:val="00413500"/>
    <w:rsid w:val="00417816"/>
    <w:rsid w:val="00423AD7"/>
    <w:rsid w:val="0044475C"/>
    <w:rsid w:val="00462A72"/>
    <w:rsid w:val="0049269B"/>
    <w:rsid w:val="004B6609"/>
    <w:rsid w:val="004C7545"/>
    <w:rsid w:val="004F6DB3"/>
    <w:rsid w:val="00512681"/>
    <w:rsid w:val="00564E63"/>
    <w:rsid w:val="0057347F"/>
    <w:rsid w:val="00574CC2"/>
    <w:rsid w:val="00575514"/>
    <w:rsid w:val="005834BE"/>
    <w:rsid w:val="00584CFF"/>
    <w:rsid w:val="005903D1"/>
    <w:rsid w:val="005944FD"/>
    <w:rsid w:val="00597E36"/>
    <w:rsid w:val="005A0709"/>
    <w:rsid w:val="005B0CB2"/>
    <w:rsid w:val="005B3E95"/>
    <w:rsid w:val="005B4C53"/>
    <w:rsid w:val="005D28EF"/>
    <w:rsid w:val="005E2493"/>
    <w:rsid w:val="005E2515"/>
    <w:rsid w:val="005E6A65"/>
    <w:rsid w:val="00607E54"/>
    <w:rsid w:val="00612D69"/>
    <w:rsid w:val="006474C0"/>
    <w:rsid w:val="00670612"/>
    <w:rsid w:val="00670DBE"/>
    <w:rsid w:val="006724EA"/>
    <w:rsid w:val="006A525B"/>
    <w:rsid w:val="006A5DB6"/>
    <w:rsid w:val="006A6AAD"/>
    <w:rsid w:val="006E7242"/>
    <w:rsid w:val="006F1107"/>
    <w:rsid w:val="006F4C11"/>
    <w:rsid w:val="00717848"/>
    <w:rsid w:val="007470A1"/>
    <w:rsid w:val="007713BE"/>
    <w:rsid w:val="00786346"/>
    <w:rsid w:val="007A505E"/>
    <w:rsid w:val="007C26FD"/>
    <w:rsid w:val="007C5701"/>
    <w:rsid w:val="007E2C43"/>
    <w:rsid w:val="007E49F0"/>
    <w:rsid w:val="007F2236"/>
    <w:rsid w:val="007F3C3F"/>
    <w:rsid w:val="0080661F"/>
    <w:rsid w:val="00820380"/>
    <w:rsid w:val="0086316E"/>
    <w:rsid w:val="00870DDD"/>
    <w:rsid w:val="00895691"/>
    <w:rsid w:val="008C4C88"/>
    <w:rsid w:val="008C6C85"/>
    <w:rsid w:val="008D1A7F"/>
    <w:rsid w:val="008E0D4C"/>
    <w:rsid w:val="008E69AA"/>
    <w:rsid w:val="008F0B5C"/>
    <w:rsid w:val="008F5F82"/>
    <w:rsid w:val="00925E99"/>
    <w:rsid w:val="0095315A"/>
    <w:rsid w:val="00960349"/>
    <w:rsid w:val="00981BD8"/>
    <w:rsid w:val="00992A3D"/>
    <w:rsid w:val="009A047E"/>
    <w:rsid w:val="009B1899"/>
    <w:rsid w:val="009D5E3D"/>
    <w:rsid w:val="009F6C8F"/>
    <w:rsid w:val="009F787A"/>
    <w:rsid w:val="00A1124E"/>
    <w:rsid w:val="00A11BA9"/>
    <w:rsid w:val="00A2254D"/>
    <w:rsid w:val="00A274C1"/>
    <w:rsid w:val="00A45E74"/>
    <w:rsid w:val="00A4751B"/>
    <w:rsid w:val="00A47B73"/>
    <w:rsid w:val="00A500A8"/>
    <w:rsid w:val="00A52ABF"/>
    <w:rsid w:val="00A6428A"/>
    <w:rsid w:val="00A9528D"/>
    <w:rsid w:val="00AA357B"/>
    <w:rsid w:val="00AC2456"/>
    <w:rsid w:val="00AC607D"/>
    <w:rsid w:val="00AE3346"/>
    <w:rsid w:val="00AE70D6"/>
    <w:rsid w:val="00B37067"/>
    <w:rsid w:val="00B476F6"/>
    <w:rsid w:val="00B51DDC"/>
    <w:rsid w:val="00B83167"/>
    <w:rsid w:val="00B8329B"/>
    <w:rsid w:val="00B8374E"/>
    <w:rsid w:val="00B9034A"/>
    <w:rsid w:val="00BB131C"/>
    <w:rsid w:val="00BC740F"/>
    <w:rsid w:val="00BD78B4"/>
    <w:rsid w:val="00BE29B8"/>
    <w:rsid w:val="00BE53EF"/>
    <w:rsid w:val="00C005D7"/>
    <w:rsid w:val="00C02013"/>
    <w:rsid w:val="00C03410"/>
    <w:rsid w:val="00C20C38"/>
    <w:rsid w:val="00C260A6"/>
    <w:rsid w:val="00C51384"/>
    <w:rsid w:val="00C57065"/>
    <w:rsid w:val="00C60342"/>
    <w:rsid w:val="00C82405"/>
    <w:rsid w:val="00C83CF6"/>
    <w:rsid w:val="00C91F32"/>
    <w:rsid w:val="00C9481C"/>
    <w:rsid w:val="00C96515"/>
    <w:rsid w:val="00CA4994"/>
    <w:rsid w:val="00CB38A9"/>
    <w:rsid w:val="00CC55CF"/>
    <w:rsid w:val="00CE18DA"/>
    <w:rsid w:val="00CE1DCA"/>
    <w:rsid w:val="00D22A5F"/>
    <w:rsid w:val="00DB6CC2"/>
    <w:rsid w:val="00DE5D4D"/>
    <w:rsid w:val="00DF4C9E"/>
    <w:rsid w:val="00DF5D2B"/>
    <w:rsid w:val="00E06F3D"/>
    <w:rsid w:val="00E559ED"/>
    <w:rsid w:val="00E826FD"/>
    <w:rsid w:val="00E86255"/>
    <w:rsid w:val="00E8640E"/>
    <w:rsid w:val="00E9155E"/>
    <w:rsid w:val="00E96BB4"/>
    <w:rsid w:val="00EA44BC"/>
    <w:rsid w:val="00EB04DF"/>
    <w:rsid w:val="00EC0F74"/>
    <w:rsid w:val="00EE4AD8"/>
    <w:rsid w:val="00F14EB9"/>
    <w:rsid w:val="00F16E30"/>
    <w:rsid w:val="00F3447F"/>
    <w:rsid w:val="00F41B6E"/>
    <w:rsid w:val="00F70432"/>
    <w:rsid w:val="00F76C11"/>
    <w:rsid w:val="00F77F37"/>
    <w:rsid w:val="00F872AC"/>
    <w:rsid w:val="00FA3AA3"/>
    <w:rsid w:val="00FC0194"/>
    <w:rsid w:val="00FD291C"/>
    <w:rsid w:val="00FE0309"/>
    <w:rsid w:val="00FE1DDB"/>
    <w:rsid w:val="00FF0E2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15363"/>
  <w15:chartTrackingRefBased/>
  <w15:docId w15:val="{A34395C2-F24B-4F27-9A55-451C2C92E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C25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258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1C25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CC55CF"/>
    <w:pPr>
      <w:spacing w:after="120"/>
    </w:pPr>
  </w:style>
  <w:style w:type="character" w:customStyle="1" w:styleId="BodyTextChar">
    <w:name w:val="Body Text Char"/>
    <w:basedOn w:val="DefaultParagraphFont"/>
    <w:link w:val="BodyText"/>
    <w:uiPriority w:val="99"/>
    <w:rsid w:val="00CC55CF"/>
  </w:style>
  <w:style w:type="paragraph" w:styleId="ListParagraph">
    <w:name w:val="List Paragraph"/>
    <w:basedOn w:val="Normal"/>
    <w:uiPriority w:val="34"/>
    <w:qFormat/>
    <w:rsid w:val="00F3447F"/>
    <w:pPr>
      <w:ind w:left="720"/>
      <w:contextualSpacing/>
    </w:pPr>
  </w:style>
  <w:style w:type="character" w:styleId="Hyperlink">
    <w:name w:val="Hyperlink"/>
    <w:basedOn w:val="DefaultParagraphFont"/>
    <w:uiPriority w:val="99"/>
    <w:unhideWhenUsed/>
    <w:rsid w:val="00401139"/>
    <w:rPr>
      <w:color w:val="0563C1" w:themeColor="hyperlink"/>
      <w:u w:val="single"/>
    </w:rPr>
  </w:style>
  <w:style w:type="paragraph" w:styleId="BalloonText">
    <w:name w:val="Balloon Text"/>
    <w:basedOn w:val="Normal"/>
    <w:link w:val="BalloonTextChar"/>
    <w:uiPriority w:val="99"/>
    <w:semiHidden/>
    <w:unhideWhenUsed/>
    <w:rsid w:val="00612D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2D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6593">
      <w:bodyDiv w:val="1"/>
      <w:marLeft w:val="0"/>
      <w:marRight w:val="0"/>
      <w:marTop w:val="0"/>
      <w:marBottom w:val="0"/>
      <w:divBdr>
        <w:top w:val="none" w:sz="0" w:space="0" w:color="auto"/>
        <w:left w:val="none" w:sz="0" w:space="0" w:color="auto"/>
        <w:bottom w:val="none" w:sz="0" w:space="0" w:color="auto"/>
        <w:right w:val="none" w:sz="0" w:space="0" w:color="auto"/>
      </w:divBdr>
      <w:divsChild>
        <w:div w:id="990518334">
          <w:marLeft w:val="0"/>
          <w:marRight w:val="0"/>
          <w:marTop w:val="0"/>
          <w:marBottom w:val="0"/>
          <w:divBdr>
            <w:top w:val="none" w:sz="0" w:space="0" w:color="auto"/>
            <w:left w:val="none" w:sz="0" w:space="0" w:color="auto"/>
            <w:bottom w:val="none" w:sz="0" w:space="0" w:color="auto"/>
            <w:right w:val="none" w:sz="0" w:space="0" w:color="auto"/>
          </w:divBdr>
          <w:divsChild>
            <w:div w:id="1368027709">
              <w:marLeft w:val="0"/>
              <w:marRight w:val="0"/>
              <w:marTop w:val="0"/>
              <w:marBottom w:val="0"/>
              <w:divBdr>
                <w:top w:val="none" w:sz="0" w:space="0" w:color="auto"/>
                <w:left w:val="none" w:sz="0" w:space="0" w:color="auto"/>
                <w:bottom w:val="none" w:sz="0" w:space="0" w:color="auto"/>
                <w:right w:val="none" w:sz="0" w:space="0" w:color="auto"/>
              </w:divBdr>
              <w:divsChild>
                <w:div w:id="2107770589">
                  <w:marLeft w:val="0"/>
                  <w:marRight w:val="0"/>
                  <w:marTop w:val="0"/>
                  <w:marBottom w:val="0"/>
                  <w:divBdr>
                    <w:top w:val="none" w:sz="0" w:space="0" w:color="auto"/>
                    <w:left w:val="none" w:sz="0" w:space="0" w:color="auto"/>
                    <w:bottom w:val="none" w:sz="0" w:space="0" w:color="auto"/>
                    <w:right w:val="none" w:sz="0" w:space="0" w:color="auto"/>
                  </w:divBdr>
                  <w:divsChild>
                    <w:div w:id="7779551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epa.ca.gov/Publications/Reports/2014/RefineryRpt.pdf" TargetMode="External"/><Relationship Id="rId7" Type="http://schemas.openxmlformats.org/officeDocument/2006/relationships/hyperlink" Target="http://www.dir.ca.gov/OSHSB/Process-Safety-Management-for-Petroleum-Refinerie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F9DDA3-6534-BC46-AD07-6A1FE1BAB5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4195</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Butler</dc:creator>
  <cp:keywords/>
  <dc:description/>
  <cp:lastModifiedBy>Microsoft Office User</cp:lastModifiedBy>
  <cp:revision>2</cp:revision>
  <cp:lastPrinted>2016-11-10T05:07:00Z</cp:lastPrinted>
  <dcterms:created xsi:type="dcterms:W3CDTF">2016-11-10T12:53:00Z</dcterms:created>
  <dcterms:modified xsi:type="dcterms:W3CDTF">2016-11-10T12:53:00Z</dcterms:modified>
</cp:coreProperties>
</file>